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32" w:rsidRDefault="00700B32">
      <w:pPr>
        <w:pStyle w:val="ConsPlusTitle"/>
        <w:jc w:val="center"/>
        <w:outlineLvl w:val="0"/>
      </w:pPr>
      <w:bookmarkStart w:id="0" w:name="_GoBack"/>
      <w:bookmarkEnd w:id="0"/>
      <w:r>
        <w:t>МИНИСТЕРСТВО КУЛЬТУРЫ РОССИЙСКОЙ ФЕДЕРАЦИИ</w:t>
      </w:r>
    </w:p>
    <w:p w:rsidR="00700B32" w:rsidRDefault="00700B32">
      <w:pPr>
        <w:pStyle w:val="ConsPlusTitle"/>
        <w:jc w:val="center"/>
      </w:pPr>
    </w:p>
    <w:p w:rsidR="00700B32" w:rsidRDefault="00700B32">
      <w:pPr>
        <w:pStyle w:val="ConsPlusTitle"/>
        <w:jc w:val="center"/>
      </w:pPr>
      <w:r>
        <w:t>ПИСЬМО</w:t>
      </w:r>
    </w:p>
    <w:p w:rsidR="00700B32" w:rsidRDefault="00700B32">
      <w:pPr>
        <w:pStyle w:val="ConsPlusTitle"/>
        <w:jc w:val="center"/>
      </w:pPr>
      <w:r>
        <w:t>от 3 июля 2015 г. N 231-01-39-НМ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 xml:space="preserve">Министерство культуры Российской Федерации в дополнение к письму от 21.05.2015 N 185-01-39-НМ сообщает, что в целях оказания методической помощи разработало Методические </w:t>
      </w:r>
      <w:hyperlink w:anchor="P19" w:history="1">
        <w:r>
          <w:rPr>
            <w:color w:val="0000FF"/>
          </w:rPr>
          <w:t>рекомендации</w:t>
        </w:r>
      </w:hyperlink>
      <w:r>
        <w:t xml:space="preserve"> по введению нормирования труда в государственных (муниципальных) учреждениях культуры с указаниями особенностей введения типовых норм труда в библиотеках, фильмофондах, зоопарках, музеях и других организациях музейного типа, утвержденных приказами Минкультуры России от 30.12.2014 </w:t>
      </w:r>
      <w:hyperlink r:id="rId4" w:history="1">
        <w:r>
          <w:rPr>
            <w:color w:val="0000FF"/>
          </w:rPr>
          <w:t>N 2477</w:t>
        </w:r>
      </w:hyperlink>
      <w:r>
        <w:t xml:space="preserve"> и N 2478.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w:anchor="P19" w:history="1">
        <w:r>
          <w:rPr>
            <w:color w:val="0000FF"/>
          </w:rPr>
          <w:t>рекомендации</w:t>
        </w:r>
      </w:hyperlink>
      <w:r>
        <w:t xml:space="preserve"> размещены на официальном сайте Минкультуры России mkrf.ru в разделах "Главная", "Министерство", "Департаменты", "Департамент экономики и финансов", "Методические рекомендации" и могут быть использованы в работе.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Сообщаем о необходимости в соответствии с планами мероприятий ("дорожными картами") обеспечить внедрение типовых отраслевых норм труда в указанных учреждениях и направить соответствующую информацию в рамках отчета по мониторингу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N 2190-р, в Минкультуры России в установленные сроки.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Одновременно сообщаем, что Минкультуры России в настоящее время разрабатывает информационный сервис по формированию штатных расписаний учреждений культуры на основе утвержденных норм труда, который позволит рассчитывать нормативную численность работников учреждения в соответствии с выполняемыми в учреждении объемами работ. Информация о запуске информационного сервиса будет доведена дополнительно после завершения апробации в пилотных подведомственных учреждениях культуры.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right"/>
      </w:pPr>
      <w:r>
        <w:t>Н.А.МАЛАКОВ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right"/>
        <w:outlineLvl w:val="0"/>
      </w:pPr>
      <w:r>
        <w:t>Приложение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Title"/>
        <w:jc w:val="center"/>
      </w:pPr>
      <w:bookmarkStart w:id="1" w:name="P19"/>
      <w:bookmarkEnd w:id="1"/>
      <w:r>
        <w:t>МЕТОДИЧЕСКИЕ РЕКОМЕНДАЦИИ</w:t>
      </w:r>
    </w:p>
    <w:p w:rsidR="00700B32" w:rsidRDefault="00700B32">
      <w:pPr>
        <w:pStyle w:val="ConsPlusTitle"/>
        <w:jc w:val="center"/>
      </w:pPr>
      <w:r>
        <w:t>ПО ВВЕДЕНИЮ НОРМИРОВАНИЯ ТРУДА В ГОСУДАРСТВЕННЫХ</w:t>
      </w:r>
    </w:p>
    <w:p w:rsidR="00700B32" w:rsidRDefault="00700B32">
      <w:pPr>
        <w:pStyle w:val="ConsPlusTitle"/>
        <w:jc w:val="center"/>
      </w:pPr>
      <w:r>
        <w:t>(МУНИЦИПАЛЬНЫХ) УЧРЕЖДЕНИЯХ КУЛЬТУРЫ С УКАЗАНИЯМИ</w:t>
      </w:r>
    </w:p>
    <w:p w:rsidR="00700B32" w:rsidRDefault="00700B32">
      <w:pPr>
        <w:pStyle w:val="ConsPlusTitle"/>
        <w:jc w:val="center"/>
      </w:pPr>
      <w:r>
        <w:t>ОСОБЕННОСТЕЙ ВВЕДЕНИЯ ТИПОВЫХ НОРМ ТРУДА В БИБЛИОТЕКАХ,</w:t>
      </w:r>
    </w:p>
    <w:p w:rsidR="00700B32" w:rsidRDefault="00700B32">
      <w:pPr>
        <w:pStyle w:val="ConsPlusTitle"/>
        <w:jc w:val="center"/>
      </w:pPr>
      <w:r>
        <w:t>ФИЛЬМОФОНДАХ, ЗООПАРКАХ, МУЗЕЯХ И ДРУГИХ</w:t>
      </w:r>
    </w:p>
    <w:p w:rsidR="00700B32" w:rsidRDefault="00700B32">
      <w:pPr>
        <w:pStyle w:val="ConsPlusTitle"/>
        <w:jc w:val="center"/>
      </w:pPr>
      <w:r>
        <w:t>ОРГАНИЗАЦИЯХ МУЗЕЙНОГО ТИПА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Общие положения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дополнение к </w:t>
      </w:r>
      <w:hyperlink r:id="rId6" w:history="1">
        <w:r>
          <w:rPr>
            <w:color w:val="0000FF"/>
          </w:rPr>
          <w:t>Методическим рекомендациям</w:t>
        </w:r>
      </w:hyperlink>
      <w:r>
        <w:t xml:space="preserve"> по формированию штатной численности государственных (муниципальных) учреждений культуры (библиотек, фильмофондов, зоопарков, музеев и других организаций музейного типа) с учетом отраслевой специфики, утвержденных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Минкультуры России от 30.12.2014 N 2479, в целях оказания методической помощи по введению нормирования труда в государственных (муниципальных) учреждениях культуры, в том числе типовых отраслевых норм труда в библиотеках, фильмофондах, зоопарках, музеях и других организациях музейного типа </w:t>
      </w:r>
      <w:r>
        <w:lastRenderedPageBreak/>
        <w:t>(далее - учреждения), учитывая специфику и особенности указанных учреждений.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Методические рекомендации предназначены для использования в работе: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учреждениями культуры, находящимися в ведении Минкультуры России;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федеральными органами исполнительной власти, имеющими в ведении учреждения культуры;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учреждениями культуры - главными распорядителями средств федерального бюджета;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органами государственной власти субъектов Российской Федерации;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органами местного самоуправления;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государственные (муниципальные) учреждения культуры.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 Методических рекомендациях даны общие подходы по введению нормирования труда в государственных (муниципальных) учреждениях культуры, а также указания по особенностям введения типовых отраслевых норм труда в библиотеках, фильмофондах, зоопарках, музеях и других организациях музейного типа.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Методические рекомендации состоят из следующих разделов: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1) общие подходы по введению нормирования труда в государственных (муниципальных) учреждениях сферы культуры;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2) введение типовых отраслевых норм труда в библиотеках, фильмофондах, зоопарках, музеях и других организациях музейного типа;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3) особенности введения типовых отраслевых норм труда на работы, выполняемые в библиотеках;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4) особенности введения типовых отраслевых норм труда на работы, выполняемые в фильмофондах;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5) особенности введения типовых отраслевых норм труда на работы, выполняемые в зоопарках;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6) особенности введения типовых отраслевых норм труда на работы, выполняемые в музеях и других организациях музейного типа.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I. Общие подходы по введению нормирования</w:t>
      </w:r>
    </w:p>
    <w:p w:rsidR="00700B32" w:rsidRDefault="00700B32">
      <w:pPr>
        <w:pStyle w:val="ConsPlusNormal"/>
        <w:jc w:val="center"/>
      </w:pPr>
      <w:r>
        <w:t>труда в государственных (муниципальных) учреждениях</w:t>
      </w:r>
    </w:p>
    <w:p w:rsidR="00700B32" w:rsidRDefault="00700B32">
      <w:pPr>
        <w:pStyle w:val="ConsPlusNormal"/>
        <w:jc w:val="center"/>
      </w:pPr>
      <w:r>
        <w:t>сферы культуры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Нормирование труда представляет собой составную часть (функцию) управления и включает в себя определение необходимых затрат труда (времени) на выполнение работ (изготовление единицы продукции, оказание услуг) отдельными работниками (группами работников) и установление на этой основе норм труда.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Введение нормирования труда в государственных (муниципальных) учреждениях осуществляется в соответствии с </w:t>
      </w:r>
      <w:hyperlink r:id="rId8" w:history="1">
        <w:r>
          <w:rPr>
            <w:color w:val="0000FF"/>
          </w:rPr>
          <w:t>Методическими рекомендациями</w:t>
        </w:r>
      </w:hyperlink>
      <w:r>
        <w:t xml:space="preserve"> по разработке систем нормирования труда в государственных (муниципальных) учреждениях, утвержденных приказом Минтруда России от 30.09.2013 N 504.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Введение типовых отраслевых норм труда осуществляется с учетом организационно-</w:t>
      </w:r>
      <w:r>
        <w:lastRenderedPageBreak/>
        <w:t>технических условий выполнения технологических (трудовых) процессов в учреждениях с использованием оборудования, материалов, технологий и методик выполнения работ и других организационно-технических факторов, которые могут существенно повлиять на величину нормы труда.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1. При расчете норм труда и штатной численности в государственных (муниципальных) учреждениях используются: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типовые отраслевые нормы труда;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типовые межотраслевые нормы труда;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типовые профессиональные и иные нормы труда с учетом специфики конкретного учреждения &lt;1&gt;;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&lt;1&gt; С учетом специфики учреждения допускается использование установленных норм труда для учреждений и организаций других отраслей, необходимых для достижения определенных уставом целей деятельности этого учреждения.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- регламенты выполнения работ по типам учреждений (</w:t>
      </w:r>
      <w:hyperlink r:id="rId9" w:history="1">
        <w:r>
          <w:rPr>
            <w:color w:val="0000FF"/>
          </w:rPr>
          <w:t>ЕКС</w:t>
        </w:r>
      </w:hyperlink>
      <w:r>
        <w:t xml:space="preserve">, </w:t>
      </w:r>
      <w:hyperlink r:id="rId10" w:history="1">
        <w:r>
          <w:rPr>
            <w:color w:val="0000FF"/>
          </w:rPr>
          <w:t>ЕТКС</w:t>
        </w:r>
      </w:hyperlink>
      <w:r>
        <w:t xml:space="preserve">, профессиональные </w:t>
      </w:r>
      <w:hyperlink r:id="rId11" w:history="1">
        <w:r>
          <w:rPr>
            <w:color w:val="0000FF"/>
          </w:rPr>
          <w:t>стандарты</w:t>
        </w:r>
      </w:hyperlink>
      <w:r>
        <w:t>).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При этом рекомендуется учитывать все факторы, влияющие на величину затрат труда, и условия выполнения работ &lt;1&gt;.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4</w:t>
        </w:r>
      </w:hyperlink>
      <w:r>
        <w:t xml:space="preserve"> Методических рекомендаций, утвержденных приказом Минкультуры России от 30.12.2014 N 2479.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2. Разработка нормирования труда в учреждениях должна осуществляться специалистами, обладающими необходимыми знаниями и умениями в сфере организации и нормирования труда. С учетом численности работников и специфики деятельности учреждения рекомендуется создание в учреждениях специализированного структурного подразделения (службы) для выполнения работ, связанных с нормированием труда. При его отсутствии нормирование труда может быть возложено на структурное подразделение (работника), в ведении которого находятся вопросы кадрового обеспечения деятельности учреждения, организации труда и заработной платы &lt;1&gt;.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6</w:t>
        </w:r>
      </w:hyperlink>
      <w:r>
        <w:t xml:space="preserve"> Методических рекомендаций, утвержденных приказом Минтруда России от 30.09.2013 N 504.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3. При планировании мер по повышению эффективности оказания государственных (муниципальных) услуг типовые нормы рекомендуется использовать: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для учреждений, где организационно-технические условия ниже уровня, на который они рассчитаны;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при исследовании затрат рабочего времени и анализе потерь рабочего времени.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После анализа организационно-технических условий и потерь рабочего времени нормы труда должны быть пересмотрены.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lastRenderedPageBreak/>
        <w:t>4. Разрабатываемые нормы должны быть технически обоснованными, т.е. нормы, установленные аналитическим методом на основе комплексного обоснования величины затрат труда применительно к той технике и технологии, с использованием которых должна быть выполнена данная работа.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При закупке в установленном порядке нового оборудования учреждениям рекомендуется в конкурсной документации предусматривать обязанность организаций и индивидуальных предпринимателей, участвующих в конкурсе, проводить сравнительный расчет влияния на норму труда внедрения закупаемого оборудования.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5. Ответственность за разработку, пересмотр и утверждение норм труда в государственных (муниципальных) учреждениях, а также на их основе формирование штатной численности возлагается на руководителя учреждения.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Пересмотр норм труда на уровне учреждений рекомендуется осуществлять через каждые 5 лет с даты их утверждения и введения в действие, а также при изменении организации труда, внедрении новой техники и технологии.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6. Формализацию норм труда учреждений рекомендуется осуществлять в Положении о системе нормирования труда учреждения (далее - Положение), которое с учетом мнения представительного органа работников либо утверждается локальным нормативным актом учреждения, либо включается в качестве отдельного раздела в коллективный договор в общем порядке в соответствии с трудовым законодательством Российской Федерации.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 Положение рекомендуется включать следующие разделы: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применяемые в учреждении нормы труда. В данном разделе приводятся: ссылки на типовые нормы труда, используемые при определении норм труда; применяемые методики определения нормы численности на основе типовой нормы времени; расчет коррекции типовых норм труда с учетом организационно-технических условий (если проводилась коррекция); методы и способы установления норм труда по отдельным должностям (профессиям рабочих), видам работ (функциям), по которым отсутствуют типовые нормы труда;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б) порядок введения норм труда;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в) порядок организации замены и пересмотра норм труда;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г) меры, направленные на соблюдение установленных норм труда.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7. При заключении трудового договора работник должен быть проинформирован о нормах труда. В случае установления работнику норм времени на выполнение работ (оказание услуг) или норм обслуживания,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Работники извещаются о внедрении новых норм труда не позднее, чем за два месяца до их введения в действие &lt;1&gt;. О снижении ошибочных норм труда работники могут быть уведомлены и в более короткий срок, определяемый с учетом мнения представительного органа работников.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Статьи 161</w:t>
        </w:r>
      </w:hyperlink>
      <w:r>
        <w:t xml:space="preserve"> - </w:t>
      </w:r>
      <w:hyperlink r:id="rId15" w:history="1">
        <w:r>
          <w:rPr>
            <w:color w:val="0000FF"/>
          </w:rPr>
          <w:t>162</w:t>
        </w:r>
      </w:hyperlink>
      <w:r>
        <w:t xml:space="preserve"> Трудового кодекса Российской Федерации.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Форма извещения о внедрении новых норм труда определяется учреждениями самостоятельно. При этом рекомендуется указать ранее действовавшие нормы труда; новые нормы труда; факторы, послужившие основанием введения новых норм труда.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lastRenderedPageBreak/>
        <w:t>8. Перед введением новых норм труда рекомендуется провести инструктаж и обучение работников наиболее эффективным приемам и методам выполнения работ, при этом могут быть использованы как индивидуальные, так и групповые формы их проведения.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Все вновь принятые на работу работники должны проходить вводный (общий) инструктаж по технике безопасности, охране труда и противопожарной безопасности, затем первичный инструктаж непосредственно на рабочем месте, в процессе работы - повторные инструктажи и при необходимости - внеплановые и целевые инструктажи.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9. При освоении норм труда рекомендуется провести следующие мероприятия: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проанализировать степень освоения работ каждым работником на основе данных о выполнении норм;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б) в связи с введением новой техники и технологии провести обучение работников с целью необходимости приобретения новых теоретических и практических знаний для рационального использования приемов труда работниками.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10. При освоении новых видов работ (стандартов оказания государственных (муниципальных) услуг) или несоответствии фактических организационно-технических условий выполнения работ, запроектированных во вновь вводимых нормах труда, рекомендуется применять поправочные коэффициенты.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II. Введение типовых отраслевых норм труда</w:t>
      </w:r>
    </w:p>
    <w:p w:rsidR="00700B32" w:rsidRDefault="00700B32">
      <w:pPr>
        <w:pStyle w:val="ConsPlusNormal"/>
        <w:jc w:val="center"/>
      </w:pPr>
      <w:r>
        <w:t>в библиотеках, фильмофондах, зоопарках, музеях и других</w:t>
      </w:r>
    </w:p>
    <w:p w:rsidR="00700B32" w:rsidRDefault="00700B32">
      <w:pPr>
        <w:pStyle w:val="ConsPlusNormal"/>
        <w:jc w:val="center"/>
      </w:pPr>
      <w:r>
        <w:t>организациях музейного типа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11. Введение типовых отраслевых норм труда в учреждениях осуществляется на основе приказов Минкультуры России: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от 30.12.2014 </w:t>
      </w:r>
      <w:hyperlink r:id="rId16" w:history="1">
        <w:r>
          <w:rPr>
            <w:color w:val="0000FF"/>
          </w:rPr>
          <w:t>N 2477</w:t>
        </w:r>
      </w:hyperlink>
      <w:r>
        <w:t xml:space="preserve"> "Об утверждении типовых отраслевых норм труда на работы, выполняемые в библиотеках" (зарегистрирован в Минюсте России 12.05.2015, регистрационный N 37244);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от 30.12.2014 </w:t>
      </w:r>
      <w:hyperlink r:id="rId17" w:history="1">
        <w:r>
          <w:rPr>
            <w:color w:val="0000FF"/>
          </w:rPr>
          <w:t>N 2478</w:t>
        </w:r>
      </w:hyperlink>
      <w:r>
        <w:t xml:space="preserve"> "Об утверждении типовых отраслевых норм труда на работы, выполняемые в зоопарках, фильмофондах, музеях и других организациях музейного типа" (зарегистрирован в Минюсте России 07.05.2015, регистрационный N 37153).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12. Типовые отраслевые нормы труда предназначены для формирования обоснованных оптимальных показателей трудоемкости выполнения работ в государственных (муниципальных) учреждениях культуры, планирования работ, выдачи нормированных заданий, а также для определения необходимой минимальной штатной численности персонала, позволяющей осуществлять усредненный набор услуг, закрепляемых за каждым типом учреждений культуры при типовых организационно-технических условиях деятельности.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13. Типовые отраслевые нормы рекомендуются для применения в соответствующих государственных (муниципальных) учреждениях, организациях культуры независимо от форм собственности и организационно-правовых форм.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14. В основу разработки типовых отраслевых норм труда на работы, выполняемые в учреждениях, включено следующее: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положения и нормативные правовые акты, регламентирующие деятельность Минкультуры России;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- результативные исследования (фотографии рабочего времени, хронометраж, </w:t>
      </w:r>
      <w:proofErr w:type="spellStart"/>
      <w:r>
        <w:lastRenderedPageBreak/>
        <w:t>самофотография</w:t>
      </w:r>
      <w:proofErr w:type="spellEnd"/>
      <w:r>
        <w:t xml:space="preserve"> и т.д.);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показатели деятельности по государственным (муниципальным) учреждениям;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результаты интервьюирования руководителей, специалистов и работников государственных (муниципальных) учреждений и организаций культуры;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статистические материалы.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III. Особенности введения типовых отраслевых норм труда</w:t>
      </w:r>
    </w:p>
    <w:p w:rsidR="00700B32" w:rsidRDefault="00700B32">
      <w:pPr>
        <w:pStyle w:val="ConsPlusNormal"/>
        <w:jc w:val="center"/>
      </w:pPr>
      <w:r>
        <w:t>на работы, выполняемые в библиотеках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 xml:space="preserve">15. Типовые отраслевые </w:t>
      </w:r>
      <w:hyperlink r:id="rId18" w:history="1">
        <w:r>
          <w:rPr>
            <w:color w:val="0000FF"/>
          </w:rPr>
          <w:t>нормы</w:t>
        </w:r>
      </w:hyperlink>
      <w:r>
        <w:t xml:space="preserve"> труда на работы, выполняемые в библиотеках, утвержденные приказом Минкультуры России от 30.12.2014 N 2477, предназначены для введения в: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государственных (муниципальных) библиотеках без использования автоматизированных систем управления процессами (АСУП) и на основе АСУП;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специализированных библиотеках для инвалидов по зрению;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детских, юношеских библиотеках, в библиотеках научно-исследовательских институтов (НИИ), образовательных учреждений без использования АСУП и на основе АСУП.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Типовые отраслевые нормы труда разработаны на основе научных исследований и с учетом апробаций в следующих учреждениях: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ФГБУК "Российская государственная библиотека";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Научная библиотека ФГБОУ ВПО "Московский государственный университет культуры и искусств";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Научная-музыкальная библиотека имени С.И. Танеева ФГБОУ ВПО "Московская государственная консерватория (университет) имени П.И. Чайковского";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ФГБУК "Российская государственная детская библиотека";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ФГБУК "Российская государственная библиотека для молодежи";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ФГБУК "Российская государственная библиотека для слепых".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16. Типовыми отраслевыми </w:t>
      </w:r>
      <w:hyperlink r:id="rId19" w:history="1">
        <w:r>
          <w:rPr>
            <w:color w:val="0000FF"/>
          </w:rPr>
          <w:t>нормами</w:t>
        </w:r>
      </w:hyperlink>
      <w:r>
        <w:t xml:space="preserve"> труда охвачены основные виды работ, выполняемые в библиотеках, в том числе: научная (исследовательская, методическая, информационная), перевод и переработка печатных текстов с иностранных языков на русский и с русского на иностранные языки, выставочная работа, научное редактирование рукописей, работы научно-организационного характера, работы по соблюдению обеспеченности фондами, издательская работа, а также автоматизированные виды работ.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17. Типовые отраслевые </w:t>
      </w:r>
      <w:hyperlink r:id="rId20" w:history="1">
        <w:r>
          <w:rPr>
            <w:color w:val="0000FF"/>
          </w:rPr>
          <w:t>нормы</w:t>
        </w:r>
      </w:hyperlink>
      <w:r>
        <w:t xml:space="preserve"> приведены с указанием наименования процесса, операции, состава работы, единиц измерения, нормы времени в минутах. В частности, типовые отраслевые нормы труда на работы, выполняемые в государственных (муниципальных) библиотеках (без использования АСУП), включают, в том числе, комплектование библиотечного фонда, прием и учет поступивших документов, обслуживание читателей, редактирование рукописей и т.д.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На работы по разработке программ, методик, библиографических пособий за единицу измерения принят один документ или один авторский лист.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нормах</w:t>
        </w:r>
      </w:hyperlink>
      <w:r>
        <w:t xml:space="preserve"> учтено время на подготовительно-заключительные работы, обслуживание рабочего </w:t>
      </w:r>
      <w:r>
        <w:lastRenderedPageBreak/>
        <w:t>места, отдых и личные потребности в размере 10% от оперативного времени. В ряде случаев к нормам приведены поправочные коэффициенты.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18. Настоящие типовые отраслевые нормы труда ориентированы на комплекс организационно-технических условий, которые обеспечивают возможность нормальной работы библиотеки в соответствии с действующими санитарно-гигиеническими стандартами, а именно: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деятельность работников библиотеки должна регламентироваться должностными инструкциями, внутренними трудовыми распорядками, правилами по охране труда и пожарной безопасности и иными локальными нормативными актами, принятыми в учреждениях;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б) при распределении работ между работниками следует учитывать их квалификацию, специализацию в определенных областях библиотечного дела и деловые качества, что будет способствовать качественному и быстрому выполнению заданий;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в) площадь помещения библиотеки должна соответствовать нормам, учитывающим требования рационального размещения необходимого оборудования. При этом рекомендуются помещения прямоугольной формы, имеющие две зоны: читательскую (зона обслуживания) и служебно-производственную (функционально-техническая). Уровень освещенности рабочего места, кратность обмена </w:t>
      </w:r>
      <w:proofErr w:type="gramStart"/>
      <w:r>
        <w:t>воздуха</w:t>
      </w:r>
      <w:proofErr w:type="gramEnd"/>
      <w:r>
        <w:t xml:space="preserve"> и температура в рабочих помещениях должны находиться в пределах, предусмотренных соответствующими санитарными нормами;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г) при расстановке мебели в рабочем помещении следует учитывать удобства подхода к каждому рабочему месту и обеспечение рациональных схем движения документов с учетом специализации исполнителей;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д) режим труда и отдыха работников библиотек устанавливается в соответствии с правилами внутреннего распорядка с учетом регламентации всех обязательных работ и выполнением наиболее сложных из них в первой половине дня, когда у работающих отмечается высокая устойчивая трудоспособность.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IV. Особенности введения типовых отраслевых норм труда</w:t>
      </w:r>
    </w:p>
    <w:p w:rsidR="00700B32" w:rsidRDefault="00700B32">
      <w:pPr>
        <w:pStyle w:val="ConsPlusNormal"/>
        <w:jc w:val="center"/>
      </w:pPr>
      <w:r>
        <w:t>на работы, выполняемые в фильмофондах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19. Типовые отраслевые нормы труда на работы, выполняемые в фильмофондах (</w:t>
      </w:r>
      <w:hyperlink r:id="rId22" w:history="1">
        <w:r>
          <w:rPr>
            <w:color w:val="0000FF"/>
          </w:rPr>
          <w:t>приложение N 2</w:t>
        </w:r>
      </w:hyperlink>
      <w:r>
        <w:t xml:space="preserve">, утвержденное приказом Минкультуры России от 30.12.2014 N 2478), используются при введении в </w:t>
      </w:r>
      <w:proofErr w:type="spellStart"/>
      <w:r>
        <w:t>фильмо</w:t>
      </w:r>
      <w:proofErr w:type="spellEnd"/>
      <w:r>
        <w:t xml:space="preserve">- (кино-) фондах, </w:t>
      </w:r>
      <w:proofErr w:type="spellStart"/>
      <w:r>
        <w:t>киноколлекциях</w:t>
      </w:r>
      <w:proofErr w:type="spellEnd"/>
      <w:r>
        <w:t xml:space="preserve"> и других аналогичных организациях.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Типовые отраслевые </w:t>
      </w:r>
      <w:hyperlink r:id="rId23" w:history="1">
        <w:r>
          <w:rPr>
            <w:color w:val="0000FF"/>
          </w:rPr>
          <w:t>нормы</w:t>
        </w:r>
      </w:hyperlink>
      <w:r>
        <w:t xml:space="preserve"> труда на работы, выполняемые в фильмофондах, разработаны на основе научных исследований и с учетом апробаций в следующих учреждениях: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ФГБУК "Государственный фонд кинофильмов Российской Федерации";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ГУК "Кинофонд Рязанской области";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ГАУК Свердловской области "Свердловский областной фильмофонд";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ОГУК "</w:t>
      </w:r>
      <w:proofErr w:type="spellStart"/>
      <w:r>
        <w:t>УльяновскКинофонд</w:t>
      </w:r>
      <w:proofErr w:type="spellEnd"/>
      <w:r>
        <w:t>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ОГАУК "Иркутский областной кинофонд";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ФГБУК "Объединенная государственная </w:t>
      </w:r>
      <w:proofErr w:type="spellStart"/>
      <w:r>
        <w:t>киноколлекция</w:t>
      </w:r>
      <w:proofErr w:type="spellEnd"/>
      <w:r>
        <w:t>".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20. Типовыми отраслевыми </w:t>
      </w:r>
      <w:hyperlink r:id="rId24" w:history="1">
        <w:r>
          <w:rPr>
            <w:color w:val="0000FF"/>
          </w:rPr>
          <w:t>нормами</w:t>
        </w:r>
      </w:hyperlink>
      <w:r>
        <w:t xml:space="preserve"> труда охвачены основные виды работ, выполняемые в фильмофондах, в том числе: прием и установка </w:t>
      </w:r>
      <w:proofErr w:type="spellStart"/>
      <w:r>
        <w:t>фильмоматериала</w:t>
      </w:r>
      <w:proofErr w:type="spellEnd"/>
      <w:r>
        <w:t xml:space="preserve"> на государственное хранение в </w:t>
      </w:r>
      <w:r>
        <w:lastRenderedPageBreak/>
        <w:t xml:space="preserve">хранилище; прием и установка </w:t>
      </w:r>
      <w:proofErr w:type="spellStart"/>
      <w:r>
        <w:t>фильмоматериала</w:t>
      </w:r>
      <w:proofErr w:type="spellEnd"/>
      <w:r>
        <w:t xml:space="preserve"> после временного использования; комплектация, выдача и хранение фильмовых материалов, фильмокопий и кинорекламы; ремонт, реставрация и проверка состояния фильмокопий, контроль фильмовых материалов.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21. Типовые отраслевые </w:t>
      </w:r>
      <w:hyperlink r:id="rId25" w:history="1">
        <w:r>
          <w:rPr>
            <w:color w:val="0000FF"/>
          </w:rPr>
          <w:t>нормы</w:t>
        </w:r>
      </w:hyperlink>
      <w:r>
        <w:t xml:space="preserve"> приведены с указанием: перечня работ, обрабатываемых материалов; единиц измерения; норм времени в минутах, в человеко-часах на 1000 метров; нормативов трудозатрат с учетом использования различной скорости специализированных машин, метража за смену в метрах, а также других показателей, используемых при выполнении работ в фильмофондах.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нормах</w:t>
        </w:r>
      </w:hyperlink>
      <w:r>
        <w:t xml:space="preserve"> учтено время на подготовительно-заключительные работы, обслуживание рабочего места, отдых и личные потребности в размере 10% от оперативного времени.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22. Типовые отраслевые </w:t>
      </w:r>
      <w:hyperlink r:id="rId27" w:history="1">
        <w:r>
          <w:rPr>
            <w:color w:val="0000FF"/>
          </w:rPr>
          <w:t>нормы</w:t>
        </w:r>
      </w:hyperlink>
      <w:r>
        <w:t xml:space="preserve"> труда ориентированы на комплекс организационно-технических условий, которые обеспечивают возможность нормальной работы фильмофондов в соответствии с действующими санитарно-гигиеническими стандартами, а именно: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деятельность работников фильмофондов регламентируется должностными инструкциями, внутренними трудовыми распорядками, правилами по охране труда и пожарной безопасности и иными локальными нормативными актами, принятыми в конкретных учреждениях;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б) при распределении работ между работниками следует учитывать их квалификацию, специализацию и деловые качества, что должно способствовать качественному и быстрому выполнению заданий;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в) площадь помещения фильмофонда должна соответствовать нормам, учитывающим требования рационального размещения необходимого оборудования. При этом рекомендуются помещения прямоугольной формы. Уровень освещенности рабочего места, кратность обмена </w:t>
      </w:r>
      <w:proofErr w:type="gramStart"/>
      <w:r>
        <w:t>воздуха</w:t>
      </w:r>
      <w:proofErr w:type="gramEnd"/>
      <w:r>
        <w:t xml:space="preserve"> и температура в рабочих помещениях должны находиться в пределах, предусмотренных соответствующими санитарными нормами;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г) при расстановке мебели в рабочем помещении следует учитывать удобства подхода к каждому рабочему месту и обеспечение рациональных схем движения документов с учетом специализации исполнителей;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д) режим труда и отдыха работников фильмофондов устанавливается в соответствии с правилами внутреннего трудового распорядка с учетом регламентации всех обязательных работ и выполнения наиболее сложных из них в первой половине дня, когда у работающих отмечается высокая устойчивая трудоспособность.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V. Особенности введения типовых отраслевых норм труда</w:t>
      </w:r>
    </w:p>
    <w:p w:rsidR="00700B32" w:rsidRDefault="00700B32">
      <w:pPr>
        <w:pStyle w:val="ConsPlusNormal"/>
        <w:jc w:val="center"/>
      </w:pPr>
      <w:r>
        <w:t>на работы, выполняемые в зоопарках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23. Типовые отраслевые нормы труда на работы, выполняемые в зоопарках (</w:t>
      </w:r>
      <w:hyperlink r:id="rId28" w:history="1">
        <w:r>
          <w:rPr>
            <w:color w:val="0000FF"/>
          </w:rPr>
          <w:t>приложение N 1</w:t>
        </w:r>
      </w:hyperlink>
      <w:r>
        <w:t>, утвержденное приказом Минкультуры России от 30.12.2014 N 2478), рекомендованы для введения в зоопарках, зоосадах, ботанических садах и других аналогичных организациях.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Типовые отраслевые нормы труда на работы, выполняемые в зоопарках, разработаны на основе научных исследований и с учетом апробаций в следующих учреждениях: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МАУК г. Липецка "Липецкий зоологический парк";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ГАУК г. Москвы "Московский государственный зоологический парк";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МАУК "Пермский зоопарк";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lastRenderedPageBreak/>
        <w:t>МАУК "Зоопарк" городского округа "Город Калининград";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МАУ "Ярославский зоопарк".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24. Типовыми отраслевыми </w:t>
      </w:r>
      <w:hyperlink r:id="rId29" w:history="1">
        <w:r>
          <w:rPr>
            <w:color w:val="0000FF"/>
          </w:rPr>
          <w:t>нормами</w:t>
        </w:r>
      </w:hyperlink>
      <w:r>
        <w:t xml:space="preserve"> труда охвачены основные виды работ, выполняемые в зоопарках, в том числе: ветеринарные, зоологические; по уходу за животными и их кормление; исследовательские и методические; административные.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25. </w:t>
      </w:r>
      <w:hyperlink r:id="rId30" w:history="1">
        <w:r>
          <w:rPr>
            <w:color w:val="0000FF"/>
          </w:rPr>
          <w:t>Нормы</w:t>
        </w:r>
      </w:hyperlink>
      <w:r>
        <w:t xml:space="preserve"> труда для сотрудников зоопарка установлены в штатных единицах. На ветеринарные работы, выполняемые в зоопарках, нормы труда приведены в минутах.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нормах</w:t>
        </w:r>
      </w:hyperlink>
      <w:r>
        <w:t xml:space="preserve"> труда учтено время на подготовительно-заключительные работы, обслуживание рабочего места, отдых и личные потребности в размере 10% от оперативного времени.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26. При определении </w:t>
      </w:r>
      <w:hyperlink r:id="rId32" w:history="1">
        <w:r>
          <w:rPr>
            <w:color w:val="0000FF"/>
          </w:rPr>
          <w:t>норм</w:t>
        </w:r>
      </w:hyperlink>
      <w:r>
        <w:t xml:space="preserve"> труда условия содержания животных (групповое/одиночное, экспозиционное/</w:t>
      </w:r>
      <w:proofErr w:type="spellStart"/>
      <w:r>
        <w:t>неэкспозиционное</w:t>
      </w:r>
      <w:proofErr w:type="spellEnd"/>
      <w:r>
        <w:t>, степень технологической оснащенности, наличие/отсутствие контактной работы), которые существенным образом влияют на трудозатраты, учитываются самими учреждениями. Для этого нормы труда устанавливаются в формате "от - до", а сами учреждения, исходя из указанных условий, определяют локальные показатели норм труда.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27. Данные типовые отраслевые </w:t>
      </w:r>
      <w:hyperlink r:id="rId33" w:history="1">
        <w:r>
          <w:rPr>
            <w:color w:val="0000FF"/>
          </w:rPr>
          <w:t>нормы</w:t>
        </w:r>
      </w:hyperlink>
      <w:r>
        <w:t xml:space="preserve"> труда ориентированы на комплекс организационно-технических условий, которые обеспечивают возможность нормальной работы зоопарка в соответствии с действующими санитарно-гигиеническими стандартами, а именно: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деятельность работников зоопарка регламентируется должностными инструкциями, внутренними трудовыми распорядками, правилами по охране труда и пожарной безопасности и иными локальными нормативными актами, принятыми в учреждениях;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б) при распределении работ между исполнителями следует учитывать их квалификацию, специализацию и деловые качества, что будет способствовать качественному и быстрому выполнению заданий;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в) все зоопарки, располагающие коллекциями диких животных независимо от их видового состава и количества, относятся к категории учреждений повышенной опасности;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г) территория зоопарка делится на следующие зоны: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экспозиционная, посещение которой разрешается в порядке, устанавливаемом администрацией зоопарка;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общественная, предназначенная для обслуживания посетителей;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административная;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хозяйственная;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научная;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- ветеринарная.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Посещение хозяйственной, научной и ветеринарной зон зоопарка разрешается только сотрудникам зоопарка, а также специалистам других учреждений по разрешению администрации зоопарка;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д) приборы и оборудование: станки, автоклавы, термостаты, компрессорные установки, перегонные устройства, овощемойки, корнерезки, подъемные устройства, радио, аппаратура рентгеновских кабинетов, электрообогревательные приборы, лампы специального назначения </w:t>
      </w:r>
      <w:r>
        <w:lastRenderedPageBreak/>
        <w:t>(кварцевые, бактерицидные и т.п.) и другое оборудование, используемое в зоопарке, должно соответствовать требованиям эксплуатационной и технической документации.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Конструкции клеток, загонов, вольеров и других помещений для содержания животных должны соответствовать проектной документации и обеспечивать безопасность работы обслуживающего персонала при всех производственных процессах;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е) все работы, связанные с обслуживанием и перемещением животных, должны производиться только специалистами и (при необходимости) приглашенными работниками.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28. Прежде чем приступить к обслуживанию того или иного объекта зоопарка в начале рабочего дня (уборка помещений, кормление животных, водопой, выпуск их в летние выгулы и т.п.), необходимо убедиться в возможности безопасного выполнения работ (все животные находятся на своих местах, а клетки, вольеры, барьеры, перегонные устройства, запоры и тому подобное исправны). Все эксплуатируемые запоры, задвижки, замки, страховые цепи, автоматические запирающиеся и закрывающиеся устройства должны постоянно содержаться в исправности и чистоте, периодически смазываться, подвергаться профилактическому осмотру, вовремя ремонтироваться и быть недосягаемыми для животных.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Персоналу, обслуживающему животных, запрещается заходить в клетки, вольеры, загоны через ограждения, барьеры, рвы и тому подобное. Для входа и выхода должны быть использованы только специально предназначенные входные и выходные двери, ворота, калитки, которые обеспечивают свободный и быстрый маневр.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29. Работники зоопарка должны быть обеспечены спецодеждой, специальной обувью и другими средствами индивидуальной защиты, защитными приспособлениями и предметами личной гигиены по установленным нормам.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30. Руководство и ветеринарная служба зоопарка обязаны в полном объеме и в установленные сроки исполнять все предписания государственного ветеринарного надзора.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Ветеринарные врачи зоопарка проводят постоянное ветеринарное наблюдение за всеми животными зоопарка.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Во время обслуживания животных при входе и выходе из клеток, где содержатся животные, сотрудники зоопарка дезинфицируют обувь в случаях заболеваний.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При заболевании заразными болезнями крупных животных (слонов, бегемотов, носорогов, бизонов, зубров и других) возможно их оставление на своих местах, но с обязательным проведением ограничительных мероприятий, предупреждающих распространение инфекции. При заболевании заразными болезнями мелких и средних животных их помещают в изолятор. Вход в изолятор посторонним лицам воспрещен.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Обслуживание изолированных животных должно быть организовано так, чтобы исключить возможность распространения инфекции, опасной для человека. Работу в изоляторах осуществляют специально обученные лица, которые предварительно проходят дополнительный инструктаж по охране труда. Инвентарь, оборудование, клетки, где содержатся больные животные, ежедневно дезинфицируются.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31. Режим труда и отдыха работников зоопарка устанавливается в соответствии с правилами внутреннего распорядка с учетом регламентации всех обязательных работ и выполнением наиболее сложных из них в первой половине дня, когда у работающих отмечается высокая устойчивая трудоспособность.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32. Прием на работу рабочих и служащих, которые по характеру своей трудовой деятельности будут заняты на обслуживании животных, производится при наличии справки от медицинского </w:t>
      </w:r>
      <w:r>
        <w:lastRenderedPageBreak/>
        <w:t>учреждения о состоянии здоровья, в которой должно быть указано, что работа данного лица в зоопарке с учетом его специфики разрешается. Прием на работу лиц, не достигших 18 лет, категорически запрещается.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center"/>
        <w:outlineLvl w:val="1"/>
      </w:pPr>
      <w:r>
        <w:t>VI. Особенности введения типовых отраслевых</w:t>
      </w:r>
    </w:p>
    <w:p w:rsidR="00700B32" w:rsidRDefault="00700B32">
      <w:pPr>
        <w:pStyle w:val="ConsPlusNormal"/>
        <w:jc w:val="center"/>
      </w:pPr>
      <w:r>
        <w:t>норм труда на работы, выполняемые в музеях и других</w:t>
      </w:r>
    </w:p>
    <w:p w:rsidR="00700B32" w:rsidRDefault="00700B32">
      <w:pPr>
        <w:pStyle w:val="ConsPlusNormal"/>
        <w:jc w:val="center"/>
      </w:pPr>
      <w:r>
        <w:t>организациях музейного типа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ind w:firstLine="540"/>
        <w:jc w:val="both"/>
      </w:pPr>
      <w:r>
        <w:t>33. Типовые отраслевые нормы труда на работы, выполняемые в музеях и других организациях музейного типа (</w:t>
      </w:r>
      <w:hyperlink r:id="rId34" w:history="1">
        <w:r>
          <w:rPr>
            <w:color w:val="0000FF"/>
          </w:rPr>
          <w:t>приложение N 3</w:t>
        </w:r>
      </w:hyperlink>
      <w:r>
        <w:t>, утвержденное приказом Минкультуры России от 30.12.2014 N 2478), применяются при введении в музеях, выставочных залах, картинных галереях и других организациях музейного типа.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Типовые отраслевые </w:t>
      </w:r>
      <w:hyperlink r:id="rId35" w:history="1">
        <w:r>
          <w:rPr>
            <w:color w:val="0000FF"/>
          </w:rPr>
          <w:t>нормы</w:t>
        </w:r>
      </w:hyperlink>
      <w:r>
        <w:t xml:space="preserve"> труда на работы, выполняемые в музеях и других организациях музейного типа, разработаны на основе научных исследований и с учетом апробаций в следующих учреждениях: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Всероссийского музейного объединения "Государственная Третьяковская галерея";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"Кирилло-Белозерский историко-архитектурный и художественный музей-заповедник";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"Тульский государственный музей оружия";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"Российский этнографический музей";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"Центральный музей Великой Отечественной войны 1941 - 1945 гг.";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ФБГУК "Политехнический музей".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34. Типовыми отраслевыми </w:t>
      </w:r>
      <w:hyperlink r:id="rId36" w:history="1">
        <w:r>
          <w:rPr>
            <w:color w:val="0000FF"/>
          </w:rPr>
          <w:t>нормами</w:t>
        </w:r>
      </w:hyperlink>
      <w:r>
        <w:t xml:space="preserve"> труда охвачены основные виды работ, выполняемые в музеях, в том числе научно-просветительские работы, научный учет и хранение экспонатов, научно-исследовательские работы, формирование музейной библиотеки, организационные работы, археологические наблюдения и раскопки, архивные работы, научно-издательская деятельность, экспозиционно-выставочные работы, формирование фототеки.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35. </w:t>
      </w:r>
      <w:hyperlink r:id="rId37" w:history="1">
        <w:r>
          <w:rPr>
            <w:color w:val="0000FF"/>
          </w:rPr>
          <w:t>Нормы</w:t>
        </w:r>
      </w:hyperlink>
      <w:r>
        <w:t xml:space="preserve"> труда для работников музеев установлены в нормах времени на единицу работ, которые приведены в часах.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нормах</w:t>
        </w:r>
      </w:hyperlink>
      <w:r>
        <w:t xml:space="preserve"> учтено время на подготовительно-заключительные работы, обслуживание рабочего места, отдых и личные потребности в размере 10% от оперативного времени.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36. Перечень </w:t>
      </w:r>
      <w:proofErr w:type="gramStart"/>
      <w:r>
        <w:t>сокращений</w:t>
      </w:r>
      <w:proofErr w:type="gramEnd"/>
      <w:r>
        <w:t xml:space="preserve"> применяемых в сборнике: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ДЛИ - декоративно-прикладное искусство;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РУК - рукоделие и народные промысла;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ИЗО - изобразительное искусство.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37. Указанные типовые отраслевые </w:t>
      </w:r>
      <w:hyperlink r:id="rId39" w:history="1">
        <w:r>
          <w:rPr>
            <w:color w:val="0000FF"/>
          </w:rPr>
          <w:t>нормы</w:t>
        </w:r>
      </w:hyperlink>
      <w:r>
        <w:t xml:space="preserve"> труда ориентированы на комплекс организационно-технических условий, которые обеспечивают возможность оптимальной работы музеев в соответствии с действующими санитарно-гигиеническими стандартами, а именно: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а) деятельность работников музеев регламентируется должностными инструкциями, внутренними трудовыми распорядками, правилами по охране труда и пожарной безопасности и иными локальными нормативными актами, принятыми в конкретных учреждениях;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lastRenderedPageBreak/>
        <w:t>б) при распределении работ между исполнителями следует учитывать их квалификацию, специализацию и деловые качества, что будет способствовать качественному и быстрому выполнению заданий;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 xml:space="preserve">в) площадь помещения музеев должна соответствовать нормам, учитывающим требования рационального размещения необходимого оборудования. При этом рекомендуются помещения прямоугольной формы. Уровень освещенности рабочего места, кратность обмена </w:t>
      </w:r>
      <w:proofErr w:type="gramStart"/>
      <w:r>
        <w:t>воздуха</w:t>
      </w:r>
      <w:proofErr w:type="gramEnd"/>
      <w:r>
        <w:t xml:space="preserve"> и температура в рабочих помещениях должны находиться в пределах, предусмотренных соответствующими санитарными нормами;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г) при расстановке мебели в рабочем помещении следует учитывать удобства подхода к каждому рабочему месту и обеспечение рациональных схем движения документов с учетом специализации исполнителей;</w:t>
      </w:r>
    </w:p>
    <w:p w:rsidR="00700B32" w:rsidRDefault="00700B32">
      <w:pPr>
        <w:pStyle w:val="ConsPlusNormal"/>
        <w:spacing w:before="220"/>
        <w:ind w:firstLine="540"/>
        <w:jc w:val="both"/>
      </w:pPr>
      <w:r>
        <w:t>д) режим труда и отдыха работников музеев устанавливается в соответствии с правилами внутреннего распорядка с учетом регламентации всех обязательных работ и выполнения наиболее сложных из них в первой половине дня, когда у работающих отмечается высокая устойчивая трудоспособность.</w:t>
      </w: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jc w:val="both"/>
      </w:pPr>
    </w:p>
    <w:p w:rsidR="00700B32" w:rsidRDefault="00700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D1A" w:rsidRDefault="00700B32"/>
    <w:sectPr w:rsidR="008A2D1A" w:rsidSect="005D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2"/>
    <w:rsid w:val="00646355"/>
    <w:rsid w:val="00700B32"/>
    <w:rsid w:val="00B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2BDF-5D87-4200-9FE1-2ED2E6F2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B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F40C19045BCE0D491CAEAA7E048EEE832BA2380E85BA057832500178AED85C61F784F23A59D4F0FF2A7FFEEFE446445FBB6F5A1CC6647tBZ0G" TargetMode="External"/><Relationship Id="rId13" Type="http://schemas.openxmlformats.org/officeDocument/2006/relationships/hyperlink" Target="consultantplus://offline/ref=B87F40C19045BCE0D491CAEAA7E048EEE832BA2380E85BA057832500178AED85C61F784F23A59D4D05F2A7FFEEFE446445FBB6F5A1CC6647tBZ0G" TargetMode="External"/><Relationship Id="rId18" Type="http://schemas.openxmlformats.org/officeDocument/2006/relationships/hyperlink" Target="consultantplus://offline/ref=B87F40C19045BCE0D491CAEAA7E048EEE830B62680EF5BA057832500178AED85C61F784F23A59D4E07F2A7FFEEFE446445FBB6F5A1CC6647tBZ0G" TargetMode="External"/><Relationship Id="rId26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39" Type="http://schemas.openxmlformats.org/officeDocument/2006/relationships/hyperlink" Target="consultantplus://offline/ref=B87F40C19045BCE0D491CAEAA7E048EEE830B62081E95BA057832500178AED85C61F784F23A79D4E06F2A7FFEEFE446445FBB6F5A1CC6647tBZ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7F40C19045BCE0D491CAEAA7E048EEE830B62680EF5BA057832500178AED85C61F784F23A59D4E07F2A7FFEEFE446445FBB6F5A1CC6647tBZ0G" TargetMode="External"/><Relationship Id="rId34" Type="http://schemas.openxmlformats.org/officeDocument/2006/relationships/hyperlink" Target="consultantplus://offline/ref=B87F40C19045BCE0D491CAEAA7E048EEE830B62081E95BA057832500178AED85C61F784F23A79D4E06F2A7FFEEFE446445FBB6F5A1CC6647tBZ0G" TargetMode="External"/><Relationship Id="rId7" Type="http://schemas.openxmlformats.org/officeDocument/2006/relationships/hyperlink" Target="consultantplus://offline/ref=B87F40C19045BCE0D491CAEAA7E048EEE830BB2B88EE5BA057832500178AED85D41F204322A1834E07E7F1AEA8tAZAG" TargetMode="External"/><Relationship Id="rId12" Type="http://schemas.openxmlformats.org/officeDocument/2006/relationships/hyperlink" Target="consultantplus://offline/ref=B87F40C19045BCE0D491CAEAA7E048EEE830BB2B88EE5BA057832500178AED85C61F784F23A59D4C06F2A7FFEEFE446445FBB6F5A1CC6647tBZ0G" TargetMode="External"/><Relationship Id="rId17" Type="http://schemas.openxmlformats.org/officeDocument/2006/relationships/hyperlink" Target="consultantplus://offline/ref=B87F40C19045BCE0D491CAEAA7E048EEE830B62081E95BA057832500178AED85D41F204322A1834E07E7F1AEA8tAZAG" TargetMode="External"/><Relationship Id="rId25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33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38" Type="http://schemas.openxmlformats.org/officeDocument/2006/relationships/hyperlink" Target="consultantplus://offline/ref=B87F40C19045BCE0D491CAEAA7E048EEE830B62081E95BA057832500178AED85C61F784F23A79D4E06F2A7FFEEFE446445FBB6F5A1CC6647tBZ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7F40C19045BCE0D491CAEAA7E048EEE830B62680EF5BA057832500178AED85D41F204322A1834E07E7F1AEA8tAZAG" TargetMode="External"/><Relationship Id="rId20" Type="http://schemas.openxmlformats.org/officeDocument/2006/relationships/hyperlink" Target="consultantplus://offline/ref=B87F40C19045BCE0D491CAEAA7E048EEE830B62680EF5BA057832500178AED85C61F784F23A59D4E07F2A7FFEEFE446445FBB6F5A1CC6647tBZ0G" TargetMode="External"/><Relationship Id="rId29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F40C19045BCE0D491CAEAA7E048EEE830BB2B88EE5BA057832500178AED85C61F784F23A59D4F0EF2A7FFEEFE446445FBB6F5A1CC6647tBZ0G" TargetMode="External"/><Relationship Id="rId11" Type="http://schemas.openxmlformats.org/officeDocument/2006/relationships/hyperlink" Target="consultantplus://offline/ref=B87F40C19045BCE0D491CAEAA7E048EEE832B8278AEE5BA057832500178AED85D41F204322A1834E07E7F1AEA8tAZAG" TargetMode="External"/><Relationship Id="rId24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32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37" Type="http://schemas.openxmlformats.org/officeDocument/2006/relationships/hyperlink" Target="consultantplus://offline/ref=B87F40C19045BCE0D491CAEAA7E048EEE830B62081E95BA057832500178AED85C61F784F23A79D4E06F2A7FFEEFE446445FBB6F5A1CC6647tBZ0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87F40C19045BCE0D491CAEAA7E048EEE83FB9218DE85BA057832500178AED85C61F784F23A59D4F0EF2A7FFEEFE446445FBB6F5A1CC6647tBZ0G" TargetMode="External"/><Relationship Id="rId15" Type="http://schemas.openxmlformats.org/officeDocument/2006/relationships/hyperlink" Target="consultantplus://offline/ref=B87F40C19045BCE0D491CAEAA7E048EEEA3FB72488E95BA057832500178AED85C61F784F23A49D4C01F2A7FFEEFE446445FBB6F5A1CC6647tBZ0G" TargetMode="External"/><Relationship Id="rId23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28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36" Type="http://schemas.openxmlformats.org/officeDocument/2006/relationships/hyperlink" Target="consultantplus://offline/ref=B87F40C19045BCE0D491CAEAA7E048EEE830B62081E95BA057832500178AED85C61F784F23A79D4E06F2A7FFEEFE446445FBB6F5A1CC6647tBZ0G" TargetMode="External"/><Relationship Id="rId10" Type="http://schemas.openxmlformats.org/officeDocument/2006/relationships/hyperlink" Target="consultantplus://offline/ref=B87F40C19045BCE0D491CAEAA7E048EEE035B6238EE306AA5FDA29021085B280C10E784F27BB9C4F19FBF3ACtAZBG" TargetMode="External"/><Relationship Id="rId19" Type="http://schemas.openxmlformats.org/officeDocument/2006/relationships/hyperlink" Target="consultantplus://offline/ref=B87F40C19045BCE0D491CAEAA7E048EEE830B62680EF5BA057832500178AED85C61F784F23A59D4E07F2A7FFEEFE446445FBB6F5A1CC6647tBZ0G" TargetMode="External"/><Relationship Id="rId31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4" Type="http://schemas.openxmlformats.org/officeDocument/2006/relationships/hyperlink" Target="consultantplus://offline/ref=B87F40C19045BCE0D491CAEAA7E048EEE830B62680EF5BA057832500178AED85C61F784F23A59D4E07F2A7FFEEFE446445FBB6F5A1CC6647tBZ0G" TargetMode="External"/><Relationship Id="rId9" Type="http://schemas.openxmlformats.org/officeDocument/2006/relationships/hyperlink" Target="consultantplus://offline/ref=B87F40C19045BCE0D491CAEAA7E048EEE030BC2481E306AA5FDA29021085B280C10E784F27BB9C4F19FBF3ACtAZBG" TargetMode="External"/><Relationship Id="rId14" Type="http://schemas.openxmlformats.org/officeDocument/2006/relationships/hyperlink" Target="consultantplus://offline/ref=B87F40C19045BCE0D491CAEAA7E048EEEA3FB72488E95BA057832500178AED85C61F784F23A49D4C03F2A7FFEEFE446445FBB6F5A1CC6647tBZ0G" TargetMode="External"/><Relationship Id="rId22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27" Type="http://schemas.openxmlformats.org/officeDocument/2006/relationships/hyperlink" Target="consultantplus://offline/ref=B87F40C19045BCE0D491CAEAA7E048EEE830B62081E95BA057832500178AED85C61F784F23A59F4700F2A7FFEEFE446445FBB6F5A1CC6647tBZ0G" TargetMode="External"/><Relationship Id="rId30" Type="http://schemas.openxmlformats.org/officeDocument/2006/relationships/hyperlink" Target="consultantplus://offline/ref=B87F40C19045BCE0D491CAEAA7E048EEE830B62081E95BA057832500178AED85C61F784F23A59D4E04F2A7FFEEFE446445FBB6F5A1CC6647tBZ0G" TargetMode="External"/><Relationship Id="rId35" Type="http://schemas.openxmlformats.org/officeDocument/2006/relationships/hyperlink" Target="consultantplus://offline/ref=B87F40C19045BCE0D491CAEAA7E048EEE830B62081E95BA057832500178AED85C61F784F23A79D4E06F2A7FFEEFE446445FBB6F5A1CC6647tB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С.И.</dc:creator>
  <cp:keywords/>
  <dc:description/>
  <cp:lastModifiedBy>Лебединская С.И.</cp:lastModifiedBy>
  <cp:revision>1</cp:revision>
  <dcterms:created xsi:type="dcterms:W3CDTF">2021-10-14T06:25:00Z</dcterms:created>
  <dcterms:modified xsi:type="dcterms:W3CDTF">2021-10-14T06:26:00Z</dcterms:modified>
</cp:coreProperties>
</file>